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4" w:rsidRDefault="00D46CE1">
      <w:pPr>
        <w:pStyle w:val="Standard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Analyse comparée programmes 2016 avec les programmes ajustés 2018</w:t>
      </w:r>
    </w:p>
    <w:p w:rsidR="00987104" w:rsidRDefault="00D46CE1">
      <w:pPr>
        <w:pStyle w:val="Standard"/>
        <w:jc w:val="center"/>
        <w:rPr>
          <w:sz w:val="36"/>
          <w:szCs w:val="36"/>
        </w:rPr>
      </w:pPr>
      <w:r>
        <w:rPr>
          <w:b/>
          <w:sz w:val="28"/>
          <w:szCs w:val="28"/>
        </w:rPr>
        <w:t>EMC</w:t>
      </w:r>
    </w:p>
    <w:p w:rsidR="00987104" w:rsidRDefault="00987104">
      <w:pPr>
        <w:pStyle w:val="Standard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8"/>
        <w:gridCol w:w="3206"/>
        <w:gridCol w:w="2902"/>
      </w:tblGrid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Programme 2016</w:t>
            </w: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Ajustements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pages (8 par cycles)</w:t>
            </w: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16 pages (2 d’introduction générale dont ½ </w:t>
            </w:r>
            <w:r>
              <w:rPr>
                <w:color w:val="002060"/>
              </w:rPr>
              <w:t>pages sur les modalités d’enseignement)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</w:pP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 colonnes « Connaissances, capacités et attitudes visées », « Exemples de pratiques en classe, à l’école, dans l’établissement »</w:t>
            </w: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« Connaissances et compétences associées » et  « Objets d’enseignement »</w:t>
            </w: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t>Tous les</w:t>
            </w:r>
            <w:r>
              <w:t xml:space="preserve"> exemples de pratiques ont été supprimés  et le fait de mettre deux colonnes  dont on ne comprend pas bien la distinction semblent plutôt embrouiller les programmes plus qu’il ne clarifie.</w:t>
            </w:r>
          </w:p>
          <w:p w:rsidR="00987104" w:rsidRDefault="00D46CE1">
            <w:pPr>
              <w:pStyle w:val="Standard"/>
              <w:spacing w:after="0" w:line="240" w:lineRule="auto"/>
            </w:pPr>
            <w:r>
              <w:rPr>
                <w:color w:val="16212C"/>
                <w:sz w:val="23"/>
                <w:szCs w:val="23"/>
              </w:rPr>
              <w:t>Lussault</w:t>
            </w:r>
            <w:r>
              <w:t xml:space="preserve"> dans le monde </w:t>
            </w:r>
            <w:r>
              <w:t>:</w:t>
            </w:r>
          </w:p>
          <w:p w:rsidR="00987104" w:rsidRDefault="00D46CE1">
            <w:pPr>
              <w:pStyle w:val="Standard"/>
              <w:spacing w:after="0" w:line="240" w:lineRule="auto"/>
            </w:pPr>
            <w:r>
              <w:t>« Ces ajustements, apparemment techniques,</w:t>
            </w:r>
            <w:r>
              <w:t xml:space="preserve"> sont en fait politiques », ajoute-t-il, en pointant les nouveaux programmes d’enseignement moral et civique (EMC). Dans cette discipline, le contenu des enseignements n’est pas modifié, mais la philosophie générale de la discipline a profondément changé. </w:t>
            </w:r>
            <w:r>
              <w:t>Alors que la réforme de 2016 prévoyait un enseignement fondé sur l’expérience des élèves, le programme d’EMC recensera désormais une série de notions à maîtriser selon une progression définie. Dès le CE2, les élèves devront ainsi connaître le premier coupl</w:t>
            </w:r>
            <w:r>
              <w:t>et de la Marseillaise et les principaux symboles républicains, plus tard les droits de l’homme et de l’enfant, le fonctionnement des institutions, et ainsi de suite jusqu’en 3e.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4 entrées </w:t>
            </w:r>
            <w:r>
              <w:rPr>
                <w:b/>
                <w:bCs/>
              </w:rPr>
              <w:t>:</w:t>
            </w:r>
          </w:p>
          <w:p w:rsidR="00987104" w:rsidRDefault="00D46CE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 sensibilité : soi et les autres</w:t>
            </w:r>
          </w:p>
          <w:p w:rsidR="00987104" w:rsidRDefault="00D46C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 droit et la règle : des </w:t>
            </w:r>
            <w:r>
              <w:rPr>
                <w:b/>
                <w:bCs/>
              </w:rPr>
              <w:t>principes pour vivre avec les autres</w:t>
            </w:r>
          </w:p>
          <w:p w:rsidR="00987104" w:rsidRDefault="00D46C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 jugement : penser par soi-même et avec les autres</w:t>
            </w:r>
          </w:p>
          <w:p w:rsidR="00987104" w:rsidRDefault="00D46C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L’engagement : agir individuellement et collectivement</w:t>
            </w:r>
          </w:p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rPr>
                <w:color w:val="002060"/>
                <w:shd w:val="clear" w:color="auto" w:fill="FFFF00"/>
              </w:rPr>
              <w:lastRenderedPageBreak/>
              <w:t>3 entrées</w:t>
            </w:r>
            <w:r>
              <w:rPr>
                <w:color w:val="002060"/>
              </w:rPr>
              <w:t> :</w:t>
            </w:r>
          </w:p>
          <w:p w:rsidR="00987104" w:rsidRDefault="00D46CE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Respecter autrui</w:t>
            </w:r>
          </w:p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Appropriation par l’élève des </w:t>
            </w:r>
            <w:r>
              <w:rPr>
                <w:color w:val="002060"/>
              </w:rPr>
              <w:lastRenderedPageBreak/>
              <w:t>principes qui le garantissent.</w:t>
            </w:r>
          </w:p>
          <w:p w:rsidR="00987104" w:rsidRDefault="00D46CE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Acquérir et </w:t>
            </w:r>
            <w:r>
              <w:rPr>
                <w:color w:val="002060"/>
              </w:rPr>
              <w:t>partager les valeurs de la République</w:t>
            </w:r>
          </w:p>
          <w:p w:rsidR="00987104" w:rsidRDefault="00D46CE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Rappel du code de l’Education : « outre la transmission des connaissances, la Nation fixe comme mission première à l’école de faire partager les valeurs de la République ». (art L111-1)</w:t>
            </w:r>
          </w:p>
          <w:p w:rsidR="00987104" w:rsidRDefault="00D46C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Les 4 valeurs et principes majeu</w:t>
            </w:r>
            <w:r>
              <w:rPr>
                <w:color w:val="002060"/>
              </w:rPr>
              <w:t>rs de la RF liberté égalité fraternité laïcité dont se déduisent la solidarité, l’égalité H/F ainsi que le refus de toutes les formes de discrimination.</w:t>
            </w: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D46CE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Construire une culture civique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lastRenderedPageBreak/>
              <w:t xml:space="preserve">Ces trois entrées sont travaillées dans les cycles 2, 3 et 4 dans une </w:t>
            </w:r>
            <w:r>
              <w:t xml:space="preserve">démarche </w:t>
            </w:r>
            <w:r>
              <w:lastRenderedPageBreak/>
              <w:t>spiralaire.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rPr>
                <w:color w:val="002060"/>
              </w:rPr>
              <w:t xml:space="preserve">Page 3 Les 4 entrées des programmes de 2015 sont reprises </w:t>
            </w:r>
            <w:r>
              <w:t>comme compétences à travailler du cycle 2 au cycle 4.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t>Elles perdent leur statut de finalité et deviennent des compétences.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 xml:space="preserve">Les cycles 2 et 3 ont les mêmes objectifs de </w:t>
            </w:r>
            <w:r>
              <w:rPr>
                <w:b/>
                <w:bCs/>
                <w:shd w:val="clear" w:color="auto" w:fill="FFFF00"/>
              </w:rPr>
              <w:t>formation déclinés sous 4 entrées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La sensibilité : soi et les autres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Objectifs de formation</w:t>
            </w:r>
            <w:r>
              <w:rPr>
                <w:b/>
                <w:bCs/>
              </w:rPr>
              <w:t> :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Identifier et exprimer en les régulant ses émotions et ses sentiments. S’estimer et être capable d’écoute et d’empathie.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Se sentir membre d’une collectivité.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L</w:t>
            </w:r>
            <w:r>
              <w:rPr>
                <w:b/>
                <w:bCs/>
                <w:shd w:val="clear" w:color="auto" w:fill="FFFF00"/>
              </w:rPr>
              <w:t>e droit et la règle : des principes pour vivre avec les autres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Objectifs de formation</w:t>
            </w:r>
            <w:r>
              <w:rPr>
                <w:b/>
                <w:bCs/>
              </w:rPr>
              <w:t> :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Comprendre les raisons de l’obéissance aux règles et à la loi dans une société démocratique.  Comprendre les principes et les valeurs de la République française et d</w:t>
            </w:r>
            <w:r>
              <w:rPr>
                <w:b/>
                <w:bCs/>
              </w:rPr>
              <w:t>es sociétés démocratiques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Le jugement : penser par soi-même et avec les autres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Objectifs de formation</w:t>
            </w:r>
            <w:r>
              <w:rPr>
                <w:b/>
                <w:bCs/>
              </w:rPr>
              <w:t> :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Développer les aptitudes à la réflexion critique : en recherchant les critères de validité des jugements moraux ; en confrontant ses jugements à ceux </w:t>
            </w:r>
            <w:r>
              <w:rPr>
                <w:b/>
                <w:bCs/>
              </w:rPr>
              <w:t>d’autrui dans une discussion ou un débat argumenté.  Différencier son intérêt particulier de l’intérêt général.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L’engagement : agir individuellement et collectivement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Objectifs de formation</w:t>
            </w:r>
            <w:r>
              <w:rPr>
                <w:b/>
                <w:bCs/>
              </w:rPr>
              <w:t> :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S’engager et assumer des responsabilités dans l’école et dans </w:t>
            </w:r>
            <w:r>
              <w:rPr>
                <w:b/>
                <w:bCs/>
              </w:rPr>
              <w:t>l’établissement.</w:t>
            </w:r>
          </w:p>
          <w:p w:rsidR="00987104" w:rsidRDefault="00D46CE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Prendre en charge des aspects de la vie collective et de l’environnement et développer une conscience citoyenne, sociale et écologique.</w:t>
            </w: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lastRenderedPageBreak/>
              <w:t>Acquérir et partager les valeurs de la République.</w:t>
            </w:r>
          </w:p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Attendus de fin de cycle.</w:t>
            </w:r>
          </w:p>
          <w:p w:rsidR="00987104" w:rsidRDefault="00D46CE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Respecter les règles d</w:t>
            </w:r>
            <w:r>
              <w:rPr>
                <w:color w:val="002060"/>
              </w:rPr>
              <w:t>e la vie collective</w:t>
            </w:r>
          </w:p>
          <w:p w:rsidR="00987104" w:rsidRDefault="00D46CE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Connaître les valeurs, les principes et les symboles.</w:t>
            </w:r>
          </w:p>
          <w:p w:rsidR="00987104" w:rsidRDefault="00D46CE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Accéder à une première connaissance des cadres d’une société démocratique</w:t>
            </w:r>
          </w:p>
          <w:p w:rsidR="00987104" w:rsidRDefault="00D46CE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Aborder d’ici la fin du cycle la convention internationale des droits de l’enfant, la déclaration des droits</w:t>
            </w:r>
            <w:r>
              <w:rPr>
                <w:color w:val="002060"/>
              </w:rPr>
              <w:t xml:space="preserve"> de l’homme et du citoyen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t xml:space="preserve">Sur les règles au cycle 2, il y a une référence au règlement Intérieur de l’école avec une insistance sur les sanctions. La fonction punitive de la loi est donc plus mise en valeurs que celle qui consiste à garantir des droits et </w:t>
            </w:r>
            <w:r>
              <w:t>la sécurité.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Colonne 1 : connaissances et compétences associés</w:t>
            </w:r>
          </w:p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Colonne 2 : objets d’enseignements.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t>Le tableau se lisant de gauche à droite, il paraîtrait logique de commencer par les contenus d’enseignement.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Respecter autrui cycle 2</w:t>
            </w:r>
          </w:p>
          <w:p w:rsidR="00987104" w:rsidRDefault="00D46CE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</w:pPr>
            <w:r>
              <w:rPr>
                <w:color w:val="002060"/>
              </w:rPr>
              <w:t xml:space="preserve">p.4 Le respect </w:t>
            </w:r>
            <w:r>
              <w:rPr>
                <w:color w:val="002060"/>
              </w:rPr>
              <w:t xml:space="preserve">des autres dans leur diversité (racisme, </w:t>
            </w:r>
            <w:r>
              <w:rPr>
                <w:color w:val="002060"/>
                <w:shd w:val="clear" w:color="auto" w:fill="FFFF00"/>
              </w:rPr>
              <w:t>antisémitisme</w:t>
            </w:r>
            <w:r>
              <w:rPr>
                <w:color w:val="002060"/>
              </w:rPr>
              <w:t xml:space="preserve">, sexisme, xénophobie, homophobie, </w:t>
            </w:r>
            <w:r>
              <w:rPr>
                <w:color w:val="002060"/>
                <w:shd w:val="clear" w:color="auto" w:fill="FFFF00"/>
              </w:rPr>
              <w:t>handicap</w:t>
            </w:r>
            <w:r>
              <w:rPr>
                <w:color w:val="002060"/>
              </w:rPr>
              <w:t>, harcèlement)</w:t>
            </w: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D46CE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comportement responsable</w:t>
            </w: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D46CE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Discussion réglée</w:t>
            </w: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D46CE1">
            <w:pPr>
              <w:pStyle w:val="Standard"/>
              <w:spacing w:after="0" w:line="240" w:lineRule="auto"/>
            </w:pPr>
            <w:r>
              <w:t>Le mot handicap figure comme un intrus au milieu de racisme sexisme etc.</w:t>
            </w: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D46CE1">
            <w:pPr>
              <w:pStyle w:val="Standard"/>
              <w:spacing w:after="0" w:line="240" w:lineRule="auto"/>
            </w:pPr>
            <w:r>
              <w:t xml:space="preserve">Le soin des </w:t>
            </w:r>
            <w:r>
              <w:t>biens précède celui de la sécurité, des règles de prudence et du secours à autrui.</w:t>
            </w:r>
          </w:p>
          <w:p w:rsidR="00987104" w:rsidRDefault="00D46CE1">
            <w:pPr>
              <w:pStyle w:val="Standard"/>
              <w:spacing w:after="0" w:line="240" w:lineRule="auto"/>
            </w:pPr>
            <w:r>
              <w:t>Remplace le débat.</w:t>
            </w:r>
          </w:p>
          <w:p w:rsidR="00987104" w:rsidRDefault="00987104">
            <w:pPr>
              <w:pStyle w:val="Standard"/>
              <w:spacing w:after="0" w:line="240" w:lineRule="auto"/>
            </w:pP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Acquérir et partager les valeurs de la République cycle 2</w:t>
            </w:r>
          </w:p>
          <w:p w:rsidR="00987104" w:rsidRDefault="00D46CE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L’organisation territoriale de la République (commune, département, région)</w:t>
            </w: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  <w:p w:rsidR="00987104" w:rsidRDefault="00D46CE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Institutionnelle : président, premier </w:t>
            </w:r>
            <w:r>
              <w:rPr>
                <w:color w:val="002060"/>
              </w:rPr>
              <w:lastRenderedPageBreak/>
              <w:t>ministre, gouvernement.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D46CE1">
            <w:pPr>
              <w:pStyle w:val="Standard"/>
              <w:spacing w:after="0" w:line="240" w:lineRule="auto"/>
            </w:pPr>
            <w:r>
              <w:t>Notions très abstraites. Quelle correspondance avec les programmes d’histoire géographie ? La notion « d’espace vécu » semble assez lointaine</w:t>
            </w: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D46CE1">
            <w:pPr>
              <w:pStyle w:val="Standard"/>
              <w:spacing w:after="0" w:line="240" w:lineRule="auto"/>
            </w:pPr>
            <w:r>
              <w:t>On commence par l’exécutif sans parler du législa</w:t>
            </w:r>
            <w:r>
              <w:t xml:space="preserve">tif et du </w:t>
            </w:r>
            <w:r>
              <w:lastRenderedPageBreak/>
              <w:t>judiciaire. Entrée assez monarchiste…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rPr>
                <w:color w:val="002060"/>
              </w:rPr>
              <w:t>Construire une culture civique au cycle 2</w:t>
            </w:r>
          </w:p>
          <w:p w:rsidR="00987104" w:rsidRDefault="00D46CE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Participation à des journées mémorielles.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987104">
            <w:pPr>
              <w:pStyle w:val="Standard"/>
              <w:spacing w:after="0" w:line="240" w:lineRule="auto"/>
            </w:pPr>
          </w:p>
          <w:p w:rsidR="00987104" w:rsidRDefault="00D46CE1">
            <w:pPr>
              <w:pStyle w:val="Standard"/>
              <w:spacing w:after="0" w:line="240" w:lineRule="auto"/>
            </w:pPr>
            <w:r>
              <w:t>Va-t-on les faire manifester le 1</w:t>
            </w:r>
            <w:r>
              <w:rPr>
                <w:vertAlign w:val="superscript"/>
              </w:rPr>
              <w:t>er</w:t>
            </w:r>
            <w:r>
              <w:t xml:space="preserve"> mai ? C’est une blague.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Respecter autrui cycle 3</w:t>
            </w:r>
          </w:p>
          <w:p w:rsidR="00987104" w:rsidRDefault="00987104">
            <w:pPr>
              <w:pStyle w:val="Standard"/>
              <w:spacing w:after="0" w:line="240" w:lineRule="auto"/>
              <w:rPr>
                <w:color w:val="002060"/>
              </w:rPr>
            </w:pP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t xml:space="preserve">On peut s’interroger sur le sens des variations entre les attendus de la fin du cycle 2 et ceux de la fin du cycle 3. Par exemple : </w:t>
            </w:r>
            <w:r>
              <w:rPr>
                <w:i/>
              </w:rPr>
              <w:t>Accepter et respecter les différences</w:t>
            </w:r>
            <w:r>
              <w:t xml:space="preserve"> (cycle 2)</w:t>
            </w:r>
          </w:p>
          <w:p w:rsidR="00987104" w:rsidRDefault="00D46CE1">
            <w:pPr>
              <w:pStyle w:val="Standard"/>
              <w:spacing w:after="0" w:line="240" w:lineRule="auto"/>
            </w:pPr>
            <w:r>
              <w:rPr>
                <w:i/>
              </w:rPr>
              <w:t>Accepter et respecter</w:t>
            </w:r>
            <w:r>
              <w:rPr>
                <w:i/>
              </w:rPr>
              <w:t xml:space="preserve"> les différences dans son rapport à l’altérité et à l’autre</w:t>
            </w:r>
            <w:r>
              <w:t xml:space="preserve"> (cycle 3)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Aborder la notion de tolérance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</w:pPr>
            <w:r>
              <w:t>Il est à noter qu’au cycle 2, dans la partie les valeurs de la République, il est demandé p5 : « </w:t>
            </w:r>
            <w:r>
              <w:rPr>
                <w:i/>
              </w:rPr>
              <w:t xml:space="preserve">Aborder la laïcité comme liberté de croire ou de ne pas </w:t>
            </w:r>
            <w:r>
              <w:rPr>
                <w:i/>
              </w:rPr>
              <w:t>croire.</w:t>
            </w:r>
            <w:r>
              <w:t> »</w:t>
            </w:r>
          </w:p>
        </w:tc>
      </w:tr>
      <w:tr w:rsidR="00987104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  <w:rPr>
                <w:b/>
                <w:bCs/>
                <w:shd w:val="clear" w:color="auto" w:fill="FF00FF"/>
              </w:rPr>
            </w:pPr>
          </w:p>
        </w:tc>
        <w:tc>
          <w:tcPr>
            <w:tcW w:w="320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D46CE1">
            <w:pPr>
              <w:pStyle w:val="Standard"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Construire une culture civique au cycle 3</w:t>
            </w:r>
          </w:p>
        </w:tc>
        <w:tc>
          <w:tcPr>
            <w:tcW w:w="29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04" w:rsidRDefault="00987104">
            <w:pPr>
              <w:pStyle w:val="Standard"/>
              <w:spacing w:after="0" w:line="240" w:lineRule="auto"/>
            </w:pPr>
          </w:p>
        </w:tc>
      </w:tr>
    </w:tbl>
    <w:p w:rsidR="00987104" w:rsidRDefault="00987104">
      <w:pPr>
        <w:pStyle w:val="Standard"/>
      </w:pPr>
    </w:p>
    <w:sectPr w:rsidR="00987104">
      <w:footerReference w:type="default" r:id="rId8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E1" w:rsidRDefault="00D46CE1">
      <w:pPr>
        <w:spacing w:after="0" w:line="240" w:lineRule="auto"/>
      </w:pPr>
      <w:r>
        <w:separator/>
      </w:r>
    </w:p>
  </w:endnote>
  <w:endnote w:type="continuationSeparator" w:id="0">
    <w:p w:rsidR="00D46CE1" w:rsidRDefault="00D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96" w:rsidRDefault="00D46CE1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F307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E1" w:rsidRDefault="00D46C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6CE1" w:rsidRDefault="00D4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0C3"/>
    <w:multiLevelType w:val="multilevel"/>
    <w:tmpl w:val="F2F0658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DD4268C"/>
    <w:multiLevelType w:val="multilevel"/>
    <w:tmpl w:val="F3EAE16C"/>
    <w:styleLink w:val="WW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CDA1C2F"/>
    <w:multiLevelType w:val="multilevel"/>
    <w:tmpl w:val="D95C2B6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D4B1BB5"/>
    <w:multiLevelType w:val="multilevel"/>
    <w:tmpl w:val="63BE048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0012C44"/>
    <w:multiLevelType w:val="multilevel"/>
    <w:tmpl w:val="B5F64D9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4867CD1"/>
    <w:multiLevelType w:val="multilevel"/>
    <w:tmpl w:val="4D4E2F2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71A69F0"/>
    <w:multiLevelType w:val="multilevel"/>
    <w:tmpl w:val="C05AB62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/>
  </w:num>
  <w:num w:numId="9">
    <w:abstractNumId w:val="1"/>
    <w:lvlOverride w:ilvl="0">
      <w:startOverride w:val="1"/>
    </w:lvlOverride>
  </w:num>
  <w:num w:numId="10">
    <w:abstractNumId w:val="4"/>
    <w:lvlOverride w:ilvl="0"/>
  </w:num>
  <w:num w:numId="11">
    <w:abstractNumId w:val="1"/>
    <w:lvlOverride w:ilvl="0">
      <w:startOverride w:val="1"/>
    </w:lvlOverride>
  </w:num>
  <w:num w:numId="12">
    <w:abstractNumId w:val="5"/>
    <w:lvlOverride w:ilvl="0"/>
  </w:num>
  <w:num w:numId="13">
    <w:abstractNumId w:val="0"/>
    <w:lvlOverride w:ilvl="0"/>
  </w:num>
  <w:num w:numId="14">
    <w:abstractNumId w:val="3"/>
    <w:lvlOverride w:ilvl="0"/>
  </w:num>
  <w:num w:numId="15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104"/>
    <w:rsid w:val="00987104"/>
    <w:rsid w:val="00D46CE1"/>
    <w:rsid w:val="00F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21703C8F.dotm</Template>
  <TotalTime>1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gadier</dc:creator>
  <cp:lastModifiedBy>franck brock</cp:lastModifiedBy>
  <cp:revision>1</cp:revision>
  <cp:lastPrinted>2018-07-11T08:17:00Z</cp:lastPrinted>
  <dcterms:created xsi:type="dcterms:W3CDTF">2018-07-10T15:08:00Z</dcterms:created>
  <dcterms:modified xsi:type="dcterms:W3CDTF">2018-08-30T12:32:00Z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